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9CE" w:rsidRDefault="009B39CE" w:rsidP="001545A2">
      <w:pPr>
        <w:spacing w:before="120"/>
        <w:jc w:val="both"/>
        <w:rPr>
          <w:sz w:val="22"/>
          <w:szCs w:val="22"/>
          <w:lang w:val="en-IE"/>
        </w:rPr>
      </w:pPr>
    </w:p>
    <w:p w:rsidR="00A6268A" w:rsidRDefault="00A6268A" w:rsidP="00A6268A">
      <w:pPr>
        <w:spacing w:before="120"/>
        <w:jc w:val="both"/>
        <w:rPr>
          <w:rFonts w:ascii="Arial" w:hAnsi="Arial" w:cs="Arial"/>
          <w:b/>
          <w:lang w:val="en-IE"/>
        </w:rPr>
      </w:pPr>
      <w:r w:rsidRPr="00A6268A">
        <w:rPr>
          <w:rFonts w:ascii="Arial" w:hAnsi="Arial" w:cs="Arial"/>
          <w:b/>
          <w:lang w:val="en-IE"/>
        </w:rPr>
        <w:t>Liaison Statement to SRD-MG (copy to WG FM)</w:t>
      </w:r>
    </w:p>
    <w:p w:rsidR="00473225" w:rsidRPr="00A6268A" w:rsidRDefault="00473225" w:rsidP="00A6268A">
      <w:pPr>
        <w:spacing w:before="120"/>
        <w:jc w:val="both"/>
        <w:rPr>
          <w:rFonts w:ascii="Arial" w:hAnsi="Arial" w:cs="Arial"/>
          <w:b/>
          <w:lang w:val="en-IE"/>
        </w:rPr>
      </w:pPr>
    </w:p>
    <w:p w:rsidR="00A6268A" w:rsidRDefault="00A6268A" w:rsidP="00A6268A">
      <w:pPr>
        <w:spacing w:before="120"/>
        <w:jc w:val="both"/>
        <w:rPr>
          <w:rFonts w:ascii="Arial" w:hAnsi="Arial" w:cs="Arial"/>
          <w:b/>
          <w:lang w:val="en-IE"/>
        </w:rPr>
      </w:pPr>
      <w:r w:rsidRPr="00A6268A">
        <w:rPr>
          <w:rFonts w:ascii="Arial" w:hAnsi="Arial" w:cs="Arial"/>
          <w:b/>
          <w:lang w:val="en-IE"/>
        </w:rPr>
        <w:t>Support to SRD-MG activities relating to the fifth update of the EC Decision for SRD</w:t>
      </w:r>
    </w:p>
    <w:p w:rsidR="00473225" w:rsidRPr="00A6268A" w:rsidRDefault="00473225" w:rsidP="00A6268A">
      <w:pPr>
        <w:spacing w:before="120"/>
        <w:jc w:val="both"/>
        <w:rPr>
          <w:rFonts w:ascii="Arial" w:hAnsi="Arial" w:cs="Arial"/>
          <w:b/>
          <w:lang w:val="en-IE"/>
        </w:rPr>
      </w:pPr>
    </w:p>
    <w:p w:rsidR="00A6268A" w:rsidRPr="00473225" w:rsidRDefault="00A6268A" w:rsidP="00A6268A">
      <w:pPr>
        <w:spacing w:before="120"/>
        <w:jc w:val="both"/>
        <w:rPr>
          <w:rFonts w:ascii="Arial" w:hAnsi="Arial" w:cs="Arial"/>
          <w:b/>
          <w:sz w:val="22"/>
          <w:szCs w:val="22"/>
          <w:lang w:val="en-IE"/>
        </w:rPr>
      </w:pPr>
      <w:r w:rsidRPr="00473225">
        <w:rPr>
          <w:rFonts w:ascii="Arial" w:hAnsi="Arial" w:cs="Arial"/>
          <w:b/>
          <w:sz w:val="22"/>
          <w:szCs w:val="22"/>
          <w:lang w:val="en-IE"/>
        </w:rPr>
        <w:t>Introduction</w:t>
      </w:r>
    </w:p>
    <w:p w:rsidR="00A6268A" w:rsidRPr="00473225" w:rsidRDefault="009B39CE" w:rsidP="00A6268A">
      <w:pPr>
        <w:spacing w:before="120"/>
        <w:jc w:val="both"/>
        <w:rPr>
          <w:rFonts w:ascii="Arial" w:hAnsi="Arial" w:cs="Arial"/>
          <w:sz w:val="22"/>
          <w:szCs w:val="22"/>
          <w:lang w:val="en-IE"/>
        </w:rPr>
      </w:pPr>
      <w:r w:rsidRPr="00473225">
        <w:rPr>
          <w:rFonts w:ascii="Arial" w:hAnsi="Arial" w:cs="Arial"/>
          <w:sz w:val="22"/>
          <w:szCs w:val="22"/>
          <w:lang w:val="en-IE"/>
        </w:rPr>
        <w:t xml:space="preserve">SE24 considered a liaison statement from WG FM dealing with the fifth update of the technical annex of the EC Decision for SRD (document M62_13). </w:t>
      </w:r>
      <w:r w:rsidR="00A6268A" w:rsidRPr="00473225">
        <w:rPr>
          <w:rFonts w:ascii="Arial" w:hAnsi="Arial" w:cs="Arial"/>
          <w:sz w:val="22"/>
          <w:szCs w:val="22"/>
          <w:lang w:val="en-IE"/>
        </w:rPr>
        <w:t>The following subjects were so far identified for consideration in this updating process:</w:t>
      </w:r>
    </w:p>
    <w:p w:rsidR="00A6268A" w:rsidRPr="00473225" w:rsidRDefault="00A6268A" w:rsidP="00A6268A">
      <w:pPr>
        <w:spacing w:before="120"/>
        <w:jc w:val="both"/>
        <w:rPr>
          <w:rFonts w:ascii="Arial" w:hAnsi="Arial" w:cs="Arial"/>
          <w:sz w:val="22"/>
          <w:szCs w:val="22"/>
          <w:lang w:val="en-IE"/>
        </w:rPr>
      </w:pPr>
      <w:r w:rsidRPr="00473225">
        <w:rPr>
          <w:rFonts w:ascii="Arial" w:hAnsi="Arial" w:cs="Arial"/>
          <w:sz w:val="22"/>
          <w:szCs w:val="22"/>
          <w:lang w:val="en-IE"/>
        </w:rPr>
        <w:t>“</w:t>
      </w:r>
    </w:p>
    <w:p w:rsidR="009B39CE"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1)</w:t>
      </w:r>
      <w:r w:rsidRPr="00473225">
        <w:rPr>
          <w:rFonts w:ascii="Arial" w:hAnsi="Arial" w:cs="Arial"/>
          <w:sz w:val="22"/>
          <w:szCs w:val="22"/>
          <w:lang w:val="en-IE"/>
        </w:rPr>
        <w:tab/>
        <w:t>Improvement in the description of duty cycle / activity factors as discussed under current work item SE24_23, especially regarding the frequency range 863-870 MHz (it also relates to note 3 in annex 1 of ERC REC 70-03);</w:t>
      </w:r>
    </w:p>
    <w:p w:rsidR="009B39CE"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2)</w:t>
      </w:r>
      <w:r w:rsidRPr="00473225">
        <w:rPr>
          <w:rFonts w:ascii="Arial" w:hAnsi="Arial" w:cs="Arial"/>
          <w:sz w:val="22"/>
          <w:szCs w:val="22"/>
          <w:lang w:val="en-IE"/>
        </w:rPr>
        <w:tab/>
        <w:t>Check the consistency between the non-specific inductive limits with those for inductive railway applications and medical applications (coincides with entries 12b to 12e in ERC Recommendation 70-03);</w:t>
      </w:r>
    </w:p>
    <w:p w:rsidR="009B39CE"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3)</w:t>
      </w:r>
      <w:r w:rsidRPr="00473225">
        <w:rPr>
          <w:rFonts w:ascii="Arial" w:hAnsi="Arial" w:cs="Arial"/>
          <w:sz w:val="22"/>
          <w:szCs w:val="22"/>
          <w:lang w:val="en-IE"/>
        </w:rPr>
        <w:tab/>
      </w:r>
      <w:proofErr w:type="gramStart"/>
      <w:r w:rsidRPr="00473225">
        <w:rPr>
          <w:rFonts w:ascii="Arial" w:hAnsi="Arial" w:cs="Arial"/>
          <w:sz w:val="22"/>
          <w:szCs w:val="22"/>
          <w:lang w:val="en-IE"/>
        </w:rPr>
        <w:t>Discuss</w:t>
      </w:r>
      <w:proofErr w:type="gramEnd"/>
      <w:r w:rsidRPr="00473225">
        <w:rPr>
          <w:rFonts w:ascii="Arial" w:hAnsi="Arial" w:cs="Arial"/>
          <w:sz w:val="22"/>
          <w:szCs w:val="22"/>
          <w:lang w:val="en-IE"/>
        </w:rPr>
        <w:t xml:space="preserve"> the 17.1-17.3 GHz entry (currently wideband data systems) for non-specific SRD usage;</w:t>
      </w:r>
    </w:p>
    <w:p w:rsidR="009B39CE"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4)</w:t>
      </w:r>
      <w:r w:rsidRPr="00473225">
        <w:rPr>
          <w:rFonts w:ascii="Arial" w:hAnsi="Arial" w:cs="Arial"/>
          <w:sz w:val="22"/>
          <w:szCs w:val="22"/>
          <w:lang w:val="en-IE"/>
        </w:rPr>
        <w:tab/>
        <w:t>Discuss a possible broadening of the scope of (some) model control frequencies to also include other wireless controls;</w:t>
      </w:r>
    </w:p>
    <w:p w:rsidR="009B39CE"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5)</w:t>
      </w:r>
      <w:r w:rsidRPr="00473225">
        <w:rPr>
          <w:rFonts w:ascii="Arial" w:hAnsi="Arial" w:cs="Arial"/>
          <w:sz w:val="22"/>
          <w:szCs w:val="22"/>
          <w:lang w:val="en-IE"/>
        </w:rPr>
        <w:tab/>
        <w:t>Discuss the entry for 169 MHz social alarms, also seen under the scope of the 5th update (in addition to the 169 MHz mandate) and noting that an ETSI System Reference Document for alarms/social alarms is under preparation.</w:t>
      </w:r>
    </w:p>
    <w:p w:rsidR="009B39CE"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 xml:space="preserve">Items 1), 3) </w:t>
      </w:r>
      <w:proofErr w:type="gramStart"/>
      <w:r w:rsidRPr="00473225">
        <w:rPr>
          <w:rFonts w:ascii="Arial" w:hAnsi="Arial" w:cs="Arial"/>
          <w:sz w:val="22"/>
          <w:szCs w:val="22"/>
          <w:lang w:val="en-IE"/>
        </w:rPr>
        <w:t>and  4</w:t>
      </w:r>
      <w:proofErr w:type="gramEnd"/>
      <w:r w:rsidRPr="00473225">
        <w:rPr>
          <w:rFonts w:ascii="Arial" w:hAnsi="Arial" w:cs="Arial"/>
          <w:sz w:val="22"/>
          <w:szCs w:val="22"/>
          <w:lang w:val="en-IE"/>
        </w:rPr>
        <w:t xml:space="preserve">) may also need to be investigated by WG SE regarding the impact on spectrum engineering. For item 1), WG FM noted the on-going WI_23 of SE24 and also the intended near future actions as described under the UHF Roadmap under 3.2 – Improvements in 863-870 </w:t>
      </w:r>
      <w:proofErr w:type="spellStart"/>
      <w:r w:rsidRPr="00473225">
        <w:rPr>
          <w:rFonts w:ascii="Arial" w:hAnsi="Arial" w:cs="Arial"/>
          <w:sz w:val="22"/>
          <w:szCs w:val="22"/>
          <w:lang w:val="en-IE"/>
        </w:rPr>
        <w:t>MHz.</w:t>
      </w:r>
      <w:proofErr w:type="spellEnd"/>
      <w:r w:rsidRPr="00473225">
        <w:rPr>
          <w:rFonts w:ascii="Arial" w:hAnsi="Arial" w:cs="Arial"/>
          <w:sz w:val="22"/>
          <w:szCs w:val="22"/>
          <w:lang w:val="en-IE"/>
        </w:rPr>
        <w:t xml:space="preserve"> </w:t>
      </w:r>
    </w:p>
    <w:p w:rsidR="00A6268A" w:rsidRPr="00473225" w:rsidRDefault="009B39CE" w:rsidP="009B39CE">
      <w:pPr>
        <w:spacing w:before="120"/>
        <w:jc w:val="both"/>
        <w:rPr>
          <w:rFonts w:ascii="Arial" w:hAnsi="Arial" w:cs="Arial"/>
          <w:sz w:val="22"/>
          <w:szCs w:val="22"/>
          <w:lang w:val="en-IE"/>
        </w:rPr>
      </w:pPr>
      <w:r w:rsidRPr="00473225">
        <w:rPr>
          <w:rFonts w:ascii="Arial" w:hAnsi="Arial" w:cs="Arial"/>
          <w:sz w:val="22"/>
          <w:szCs w:val="22"/>
          <w:lang w:val="en-IE"/>
        </w:rPr>
        <w:t>Results are requested to be available in line with the roadmap for the fifth update, i.e. stable draft results should be available by June 2012 for SRD/MG to consider.</w:t>
      </w:r>
    </w:p>
    <w:p w:rsidR="009B39CE" w:rsidRPr="00473225" w:rsidRDefault="00A6268A" w:rsidP="009B39CE">
      <w:pPr>
        <w:spacing w:before="120"/>
        <w:jc w:val="both"/>
        <w:rPr>
          <w:rFonts w:ascii="Arial" w:hAnsi="Arial" w:cs="Arial"/>
          <w:sz w:val="22"/>
          <w:szCs w:val="22"/>
          <w:lang w:val="en-IE"/>
        </w:rPr>
      </w:pPr>
      <w:r w:rsidRPr="00473225">
        <w:rPr>
          <w:rFonts w:ascii="Arial" w:hAnsi="Arial" w:cs="Arial"/>
          <w:sz w:val="22"/>
          <w:szCs w:val="22"/>
          <w:lang w:val="en-IE"/>
        </w:rPr>
        <w:t>”</w:t>
      </w:r>
    </w:p>
    <w:p w:rsidR="00A6268A" w:rsidRPr="00473225" w:rsidRDefault="00A6268A" w:rsidP="009B39CE">
      <w:pPr>
        <w:spacing w:before="120"/>
        <w:jc w:val="both"/>
        <w:rPr>
          <w:rFonts w:ascii="Arial" w:hAnsi="Arial" w:cs="Arial"/>
          <w:sz w:val="22"/>
          <w:szCs w:val="22"/>
          <w:lang w:val="en-IE"/>
        </w:rPr>
      </w:pPr>
      <w:r w:rsidRPr="00473225">
        <w:rPr>
          <w:rFonts w:ascii="Arial" w:hAnsi="Arial" w:cs="Arial"/>
          <w:sz w:val="22"/>
          <w:szCs w:val="22"/>
          <w:lang w:val="en-IE"/>
        </w:rPr>
        <w:t xml:space="preserve">This document provides information relating to the status of the work achieved at the December 2011 meeting. </w:t>
      </w:r>
    </w:p>
    <w:p w:rsidR="009B39CE" w:rsidRPr="00473225" w:rsidRDefault="00A6268A" w:rsidP="009B39CE">
      <w:pPr>
        <w:spacing w:before="120"/>
        <w:jc w:val="both"/>
        <w:rPr>
          <w:rFonts w:ascii="Arial" w:hAnsi="Arial" w:cs="Arial"/>
          <w:b/>
          <w:sz w:val="22"/>
          <w:szCs w:val="22"/>
          <w:lang w:val="en-IE"/>
        </w:rPr>
      </w:pPr>
      <w:r w:rsidRPr="00473225">
        <w:rPr>
          <w:rFonts w:ascii="Arial" w:hAnsi="Arial" w:cs="Arial"/>
          <w:b/>
          <w:sz w:val="22"/>
          <w:szCs w:val="22"/>
          <w:lang w:val="en-IE"/>
        </w:rPr>
        <w:t>2</w:t>
      </w:r>
      <w:r w:rsidRPr="00473225">
        <w:rPr>
          <w:rFonts w:ascii="Arial" w:hAnsi="Arial" w:cs="Arial"/>
          <w:b/>
          <w:sz w:val="22"/>
          <w:szCs w:val="22"/>
          <w:lang w:val="en-IE"/>
        </w:rPr>
        <w:tab/>
        <w:t xml:space="preserve">Description of duty cycle / activity factors </w:t>
      </w:r>
    </w:p>
    <w:p w:rsidR="009B39CE" w:rsidRPr="00473225" w:rsidRDefault="00A6268A" w:rsidP="001545A2">
      <w:pPr>
        <w:spacing w:before="120"/>
        <w:jc w:val="both"/>
        <w:rPr>
          <w:rFonts w:ascii="Arial" w:hAnsi="Arial" w:cs="Arial"/>
          <w:sz w:val="22"/>
          <w:szCs w:val="22"/>
          <w:lang w:val="en-IE"/>
        </w:rPr>
      </w:pPr>
      <w:r w:rsidRPr="00473225">
        <w:rPr>
          <w:rFonts w:ascii="Arial" w:hAnsi="Arial" w:cs="Arial"/>
          <w:sz w:val="22"/>
          <w:szCs w:val="22"/>
          <w:lang w:val="en-IE"/>
        </w:rPr>
        <w:t xml:space="preserve">SRD-MG will be kept informed of the progress achieved on Work Item 23 and relating to the UHF roadmap and any possible impact relating to the description of duty cycle / activity factors </w:t>
      </w:r>
    </w:p>
    <w:p w:rsidR="00473225" w:rsidRPr="00473225" w:rsidRDefault="00473225" w:rsidP="00473225">
      <w:pPr>
        <w:spacing w:before="120"/>
        <w:jc w:val="both"/>
        <w:rPr>
          <w:rFonts w:ascii="Arial" w:hAnsi="Arial" w:cs="Arial"/>
          <w:b/>
          <w:sz w:val="22"/>
          <w:szCs w:val="22"/>
          <w:lang w:val="en-IE"/>
        </w:rPr>
      </w:pPr>
      <w:r w:rsidRPr="00473225">
        <w:rPr>
          <w:rFonts w:ascii="Arial" w:hAnsi="Arial" w:cs="Arial"/>
          <w:b/>
          <w:sz w:val="22"/>
          <w:szCs w:val="22"/>
          <w:lang w:val="en-IE"/>
        </w:rPr>
        <w:t>3</w:t>
      </w:r>
      <w:r w:rsidRPr="00473225">
        <w:rPr>
          <w:rFonts w:ascii="Arial" w:hAnsi="Arial" w:cs="Arial"/>
          <w:b/>
          <w:sz w:val="22"/>
          <w:szCs w:val="22"/>
          <w:lang w:val="en-IE"/>
        </w:rPr>
        <w:tab/>
        <w:t>Non-specific inductive limits with those for inductive railway applications and medical applications</w:t>
      </w:r>
    </w:p>
    <w:p w:rsidR="00473225" w:rsidRPr="00473225" w:rsidRDefault="00473225" w:rsidP="00473225">
      <w:pPr>
        <w:spacing w:before="120"/>
        <w:jc w:val="both"/>
        <w:rPr>
          <w:rFonts w:ascii="Arial" w:hAnsi="Arial" w:cs="Arial"/>
          <w:b/>
          <w:sz w:val="22"/>
          <w:szCs w:val="22"/>
          <w:lang w:val="en-IE"/>
        </w:rPr>
      </w:pPr>
      <w:r w:rsidRPr="00473225">
        <w:rPr>
          <w:rFonts w:ascii="Arial" w:hAnsi="Arial" w:cs="Arial"/>
          <w:b/>
          <w:sz w:val="22"/>
          <w:szCs w:val="22"/>
          <w:lang w:val="en-IE"/>
        </w:rPr>
        <w:t>3.1</w:t>
      </w:r>
      <w:r w:rsidRPr="00473225">
        <w:rPr>
          <w:rFonts w:ascii="Arial" w:hAnsi="Arial" w:cs="Arial"/>
          <w:b/>
          <w:sz w:val="22"/>
          <w:szCs w:val="22"/>
          <w:lang w:val="en-IE"/>
        </w:rPr>
        <w:tab/>
        <w:t>Annex 4: Inductive railway applications</w:t>
      </w:r>
    </w:p>
    <w:p w:rsidR="00473225" w:rsidRPr="00473225" w:rsidRDefault="00473225" w:rsidP="00473225">
      <w:pPr>
        <w:spacing w:before="120"/>
        <w:jc w:val="both"/>
        <w:rPr>
          <w:rFonts w:ascii="Arial" w:hAnsi="Arial" w:cs="Arial"/>
          <w:sz w:val="22"/>
          <w:szCs w:val="22"/>
          <w:lang w:val="en-IE"/>
        </w:rPr>
      </w:pPr>
      <w:r w:rsidRPr="00473225">
        <w:rPr>
          <w:rFonts w:ascii="Arial" w:hAnsi="Arial" w:cs="Arial"/>
          <w:sz w:val="22"/>
          <w:szCs w:val="22"/>
          <w:lang w:val="en-IE"/>
        </w:rPr>
        <w:lastRenderedPageBreak/>
        <w:t xml:space="preserve">With regard to Annex 4, SE24 is of the opinion that band b) in Annex 4 is in line with band g) in Annex 9 (same limit and a sub-set of the band given in Annex 9). SRD-MG may consider if there are any reason for having this band in Annex 4 or if Annex 9 could be modified to include this </w:t>
      </w:r>
      <w:r w:rsidR="00E575D0">
        <w:rPr>
          <w:rFonts w:ascii="Arial" w:hAnsi="Arial" w:cs="Arial"/>
          <w:sz w:val="22"/>
          <w:szCs w:val="22"/>
          <w:lang w:val="en-IE"/>
        </w:rPr>
        <w:t xml:space="preserve">railway </w:t>
      </w:r>
      <w:r w:rsidRPr="00473225">
        <w:rPr>
          <w:rFonts w:ascii="Arial" w:hAnsi="Arial" w:cs="Arial"/>
          <w:sz w:val="22"/>
          <w:szCs w:val="22"/>
          <w:lang w:val="en-IE"/>
        </w:rPr>
        <w:t xml:space="preserve">application. </w:t>
      </w:r>
    </w:p>
    <w:p w:rsidR="00473225" w:rsidRPr="00473225" w:rsidRDefault="00473225" w:rsidP="00473225">
      <w:pPr>
        <w:spacing w:before="120"/>
        <w:jc w:val="both"/>
        <w:rPr>
          <w:rFonts w:ascii="Arial" w:eastAsiaTheme="minorHAnsi" w:hAnsi="Arial" w:cs="Arial"/>
          <w:sz w:val="22"/>
          <w:szCs w:val="22"/>
          <w:lang w:val="en-US" w:eastAsia="en-US"/>
        </w:rPr>
      </w:pPr>
      <w:r w:rsidRPr="00473225">
        <w:rPr>
          <w:rFonts w:ascii="Arial" w:hAnsi="Arial" w:cs="Arial"/>
          <w:sz w:val="22"/>
          <w:szCs w:val="22"/>
          <w:lang w:val="en-IE"/>
        </w:rPr>
        <w:t>A link to the standard given in Annex 4 for band b</w:t>
      </w:r>
      <w:r w:rsidR="00E575D0">
        <w:rPr>
          <w:rFonts w:ascii="Arial" w:hAnsi="Arial" w:cs="Arial"/>
          <w:sz w:val="22"/>
          <w:szCs w:val="22"/>
          <w:lang w:val="en-IE"/>
        </w:rPr>
        <w:t>)</w:t>
      </w:r>
      <w:r w:rsidRPr="00473225">
        <w:rPr>
          <w:rFonts w:ascii="Arial" w:hAnsi="Arial" w:cs="Arial"/>
          <w:sz w:val="22"/>
          <w:szCs w:val="22"/>
          <w:lang w:val="en-IE"/>
        </w:rPr>
        <w:t xml:space="preserve"> (</w:t>
      </w:r>
      <w:r w:rsidR="00B51FF4" w:rsidRPr="00972C9A">
        <w:rPr>
          <w:rFonts w:ascii="Arial" w:eastAsiaTheme="minorHAnsi" w:hAnsi="Arial" w:cs="Arial"/>
          <w:sz w:val="22"/>
          <w:szCs w:val="22"/>
          <w:lang w:val="en-US" w:eastAsia="en-US"/>
        </w:rPr>
        <w:t xml:space="preserve">EN 300 330 </w:t>
      </w:r>
      <w:r w:rsidR="00B51FF4">
        <w:rPr>
          <w:rFonts w:ascii="Arial" w:eastAsiaTheme="minorHAnsi" w:hAnsi="Arial" w:cs="Arial"/>
          <w:sz w:val="22"/>
          <w:szCs w:val="22"/>
          <w:lang w:val="en-US" w:eastAsia="en-US"/>
        </w:rPr>
        <w:t xml:space="preserve">and </w:t>
      </w:r>
      <w:r w:rsidRPr="00473225">
        <w:rPr>
          <w:rFonts w:ascii="Arial" w:eastAsiaTheme="minorHAnsi" w:hAnsi="Arial" w:cs="Arial"/>
          <w:sz w:val="22"/>
          <w:szCs w:val="22"/>
          <w:lang w:val="en-US" w:eastAsia="en-US"/>
        </w:rPr>
        <w:t xml:space="preserve">EN 302 608) may need to be incorporated in Annex 9. Finally, appropriate cross references between Annex 4 and Annex 9 for on board equipment and the </w:t>
      </w:r>
      <w:proofErr w:type="spellStart"/>
      <w:r w:rsidRPr="00473225">
        <w:rPr>
          <w:rFonts w:ascii="Arial" w:eastAsiaTheme="minorHAnsi" w:hAnsi="Arial" w:cs="Arial"/>
          <w:sz w:val="22"/>
          <w:szCs w:val="22"/>
          <w:lang w:val="en-US" w:eastAsia="en-US"/>
        </w:rPr>
        <w:t>Eurobalise</w:t>
      </w:r>
      <w:proofErr w:type="spellEnd"/>
      <w:r w:rsidRPr="00473225">
        <w:rPr>
          <w:rFonts w:ascii="Arial" w:eastAsiaTheme="minorHAnsi" w:hAnsi="Arial" w:cs="Arial"/>
          <w:sz w:val="22"/>
          <w:szCs w:val="22"/>
          <w:lang w:val="en-US" w:eastAsia="en-US"/>
        </w:rPr>
        <w:t xml:space="preserve"> may need to be included in both Annexes.</w:t>
      </w:r>
    </w:p>
    <w:p w:rsidR="00473225" w:rsidRPr="00473225" w:rsidRDefault="00473225" w:rsidP="00473225">
      <w:pPr>
        <w:spacing w:before="120"/>
        <w:jc w:val="both"/>
        <w:rPr>
          <w:rFonts w:ascii="Arial" w:eastAsiaTheme="minorHAnsi" w:hAnsi="Arial" w:cs="Arial"/>
          <w:b/>
          <w:sz w:val="22"/>
          <w:szCs w:val="22"/>
          <w:lang w:val="en-US" w:eastAsia="en-US"/>
        </w:rPr>
      </w:pPr>
      <w:r w:rsidRPr="00473225">
        <w:rPr>
          <w:rFonts w:ascii="Arial" w:eastAsiaTheme="minorHAnsi" w:hAnsi="Arial" w:cs="Arial"/>
          <w:b/>
          <w:sz w:val="22"/>
          <w:szCs w:val="22"/>
          <w:lang w:val="en-US" w:eastAsia="en-US"/>
        </w:rPr>
        <w:t>3.2</w:t>
      </w:r>
      <w:r w:rsidRPr="00473225">
        <w:rPr>
          <w:rFonts w:ascii="Arial" w:eastAsiaTheme="minorHAnsi" w:hAnsi="Arial" w:cs="Arial"/>
          <w:b/>
          <w:sz w:val="22"/>
          <w:szCs w:val="22"/>
          <w:lang w:val="en-US" w:eastAsia="en-US"/>
        </w:rPr>
        <w:tab/>
        <w:t xml:space="preserve">Annex 12: </w:t>
      </w:r>
      <w:r w:rsidRPr="00473225">
        <w:rPr>
          <w:rFonts w:ascii="Arial" w:eastAsia="Calibri" w:hAnsi="Arial" w:cs="Arial"/>
          <w:b/>
          <w:bCs/>
          <w:sz w:val="22"/>
          <w:szCs w:val="22"/>
          <w:lang w:val="en-US" w:eastAsia="en-US"/>
        </w:rPr>
        <w:t>Active Medical Implants and their associated peripherals</w:t>
      </w:r>
    </w:p>
    <w:p w:rsidR="00CE1925" w:rsidRDefault="00E575D0" w:rsidP="00E575D0">
      <w:pPr>
        <w:spacing w:before="120"/>
        <w:jc w:val="both"/>
        <w:rPr>
          <w:rFonts w:ascii="Arial" w:hAnsi="Arial" w:cs="Arial"/>
          <w:sz w:val="22"/>
          <w:szCs w:val="22"/>
        </w:rPr>
      </w:pPr>
      <w:r>
        <w:rPr>
          <w:rFonts w:ascii="Arial" w:hAnsi="Arial" w:cs="Arial"/>
          <w:sz w:val="22"/>
          <w:szCs w:val="22"/>
        </w:rPr>
        <w:t xml:space="preserve">Band b) from 9 kHz to 148.5 kHz, the level given in Annex 12 </w:t>
      </w:r>
      <w:r w:rsidR="00CE1925">
        <w:rPr>
          <w:rFonts w:ascii="Arial" w:hAnsi="Arial" w:cs="Arial"/>
          <w:sz w:val="22"/>
          <w:szCs w:val="22"/>
        </w:rPr>
        <w:t>is tighter</w:t>
      </w:r>
      <w:r>
        <w:rPr>
          <w:rFonts w:ascii="Arial" w:hAnsi="Arial" w:cs="Arial"/>
          <w:sz w:val="22"/>
          <w:szCs w:val="22"/>
        </w:rPr>
        <w:t xml:space="preserve"> than in Annex 9. </w:t>
      </w:r>
    </w:p>
    <w:p w:rsidR="00E575D0" w:rsidRPr="00972C9A" w:rsidRDefault="00E575D0" w:rsidP="00972C9A">
      <w:pPr>
        <w:pStyle w:val="ListParagraph"/>
        <w:numPr>
          <w:ilvl w:val="0"/>
          <w:numId w:val="1"/>
        </w:numPr>
        <w:spacing w:before="120"/>
        <w:jc w:val="both"/>
        <w:rPr>
          <w:rFonts w:ascii="Arial" w:hAnsi="Arial" w:cs="Arial"/>
          <w:sz w:val="22"/>
          <w:szCs w:val="22"/>
        </w:rPr>
      </w:pPr>
      <w:r w:rsidRPr="00972C9A">
        <w:rPr>
          <w:rFonts w:ascii="Arial" w:hAnsi="Arial" w:cs="Arial"/>
          <w:sz w:val="22"/>
          <w:szCs w:val="22"/>
        </w:rPr>
        <w:t xml:space="preserve">If </w:t>
      </w:r>
      <w:r w:rsidR="00CE1925" w:rsidRPr="00972C9A">
        <w:rPr>
          <w:rFonts w:ascii="Arial" w:hAnsi="Arial" w:cs="Arial"/>
          <w:sz w:val="22"/>
          <w:szCs w:val="22"/>
        </w:rPr>
        <w:t xml:space="preserve">the </w:t>
      </w:r>
      <w:r w:rsidRPr="00972C9A">
        <w:rPr>
          <w:rFonts w:ascii="Arial" w:hAnsi="Arial" w:cs="Arial"/>
          <w:sz w:val="22"/>
          <w:szCs w:val="22"/>
        </w:rPr>
        <w:t xml:space="preserve">part of </w:t>
      </w:r>
      <w:r w:rsidR="00CE1925" w:rsidRPr="00972C9A">
        <w:rPr>
          <w:rFonts w:ascii="Arial" w:hAnsi="Arial" w:cs="Arial"/>
          <w:sz w:val="22"/>
          <w:szCs w:val="22"/>
        </w:rPr>
        <w:t xml:space="preserve">band </w:t>
      </w:r>
      <w:r w:rsidRPr="00972C9A">
        <w:rPr>
          <w:rFonts w:ascii="Arial" w:hAnsi="Arial" w:cs="Arial"/>
          <w:sz w:val="22"/>
          <w:szCs w:val="22"/>
        </w:rPr>
        <w:t xml:space="preserve">b) </w:t>
      </w:r>
      <w:r w:rsidR="00CE1925" w:rsidRPr="00972C9A">
        <w:rPr>
          <w:rFonts w:ascii="Arial" w:hAnsi="Arial" w:cs="Arial"/>
          <w:sz w:val="22"/>
          <w:szCs w:val="22"/>
        </w:rPr>
        <w:t xml:space="preserve">9 kHz to 148.5 kHz </w:t>
      </w:r>
      <w:r w:rsidRPr="00972C9A">
        <w:rPr>
          <w:rFonts w:ascii="Arial" w:hAnsi="Arial" w:cs="Arial"/>
          <w:sz w:val="22"/>
          <w:szCs w:val="22"/>
        </w:rPr>
        <w:t xml:space="preserve">is covered through Annex 9, appropriate note would have to be included in order to refer to Annex 12, in particular for the medical devices which are operating both below and above 148.5 kHz. Appropriate references to </w:t>
      </w:r>
      <w:r w:rsidRPr="00972C9A">
        <w:rPr>
          <w:rFonts w:ascii="Arial" w:eastAsiaTheme="minorHAnsi" w:hAnsi="Arial" w:cs="Arial"/>
          <w:sz w:val="22"/>
          <w:szCs w:val="22"/>
          <w:lang w:val="en-US" w:eastAsia="en-US"/>
        </w:rPr>
        <w:t>EN 302 195 would also have to be included in Annex 9.</w:t>
      </w:r>
    </w:p>
    <w:p w:rsidR="00E575D0" w:rsidRPr="00972C9A" w:rsidRDefault="00E575D0" w:rsidP="00972C9A">
      <w:pPr>
        <w:pStyle w:val="ListParagraph"/>
        <w:numPr>
          <w:ilvl w:val="0"/>
          <w:numId w:val="1"/>
        </w:numPr>
        <w:spacing w:before="120"/>
        <w:jc w:val="both"/>
        <w:rPr>
          <w:rFonts w:ascii="Arial" w:hAnsi="Arial" w:cs="Arial"/>
          <w:sz w:val="22"/>
          <w:szCs w:val="22"/>
        </w:rPr>
      </w:pPr>
      <w:r w:rsidRPr="00972C9A">
        <w:rPr>
          <w:rFonts w:ascii="Arial" w:hAnsi="Arial" w:cs="Arial"/>
          <w:sz w:val="22"/>
          <w:szCs w:val="22"/>
        </w:rPr>
        <w:t xml:space="preserve">Alternatively, a note in Annex 12 could refer to Annex 9 for </w:t>
      </w:r>
      <w:r w:rsidR="00CE1925" w:rsidRPr="00CE1925">
        <w:rPr>
          <w:rFonts w:ascii="Arial" w:hAnsi="Arial" w:cs="Arial"/>
          <w:sz w:val="22"/>
          <w:szCs w:val="22"/>
        </w:rPr>
        <w:t xml:space="preserve">medical devices operating only </w:t>
      </w:r>
      <w:r w:rsidRPr="00972C9A">
        <w:rPr>
          <w:rFonts w:ascii="Arial" w:hAnsi="Arial" w:cs="Arial"/>
          <w:sz w:val="22"/>
          <w:szCs w:val="22"/>
        </w:rPr>
        <w:t>below 148.5 kHz.</w:t>
      </w:r>
    </w:p>
    <w:p w:rsidR="00473225" w:rsidRPr="00473225" w:rsidRDefault="00473225" w:rsidP="00473225">
      <w:pPr>
        <w:spacing w:before="120"/>
        <w:jc w:val="both"/>
        <w:rPr>
          <w:rFonts w:ascii="Arial" w:hAnsi="Arial" w:cs="Arial"/>
          <w:sz w:val="22"/>
          <w:szCs w:val="22"/>
          <w:lang w:val="en-IE"/>
        </w:rPr>
      </w:pPr>
      <w:r w:rsidRPr="00473225">
        <w:rPr>
          <w:rFonts w:ascii="Arial" w:hAnsi="Arial" w:cs="Arial"/>
          <w:b/>
          <w:sz w:val="22"/>
          <w:szCs w:val="22"/>
          <w:lang w:val="en-IE"/>
        </w:rPr>
        <w:t>4</w:t>
      </w:r>
      <w:r w:rsidRPr="00473225">
        <w:rPr>
          <w:rFonts w:ascii="Arial" w:hAnsi="Arial" w:cs="Arial"/>
          <w:b/>
          <w:sz w:val="22"/>
          <w:szCs w:val="22"/>
          <w:lang w:val="en-IE"/>
        </w:rPr>
        <w:tab/>
        <w:t>17.1-17.3 GHz entry</w:t>
      </w:r>
    </w:p>
    <w:p w:rsidR="00473225" w:rsidRDefault="00473225" w:rsidP="00951182">
      <w:pPr>
        <w:spacing w:before="120"/>
        <w:jc w:val="both"/>
        <w:rPr>
          <w:rFonts w:ascii="Arial" w:hAnsi="Arial" w:cs="Arial"/>
          <w:sz w:val="22"/>
          <w:szCs w:val="22"/>
          <w:lang w:val="en-IE"/>
        </w:rPr>
      </w:pPr>
      <w:r w:rsidRPr="00473225">
        <w:rPr>
          <w:rFonts w:ascii="Arial" w:hAnsi="Arial" w:cs="Arial"/>
          <w:sz w:val="22"/>
          <w:szCs w:val="22"/>
          <w:lang w:val="en-IE"/>
        </w:rPr>
        <w:t>Some concerns were received with regard to the band 17 GHz</w:t>
      </w:r>
      <w:r w:rsidR="00CE1925">
        <w:rPr>
          <w:rFonts w:ascii="Arial" w:hAnsi="Arial" w:cs="Arial"/>
          <w:sz w:val="22"/>
          <w:szCs w:val="22"/>
          <w:lang w:val="en-IE"/>
        </w:rPr>
        <w:t>.</w:t>
      </w:r>
      <w:r w:rsidRPr="00473225">
        <w:rPr>
          <w:rFonts w:ascii="Arial" w:hAnsi="Arial" w:cs="Arial"/>
          <w:sz w:val="22"/>
          <w:szCs w:val="22"/>
          <w:lang w:val="en-IE"/>
        </w:rPr>
        <w:t xml:space="preserve"> </w:t>
      </w:r>
      <w:r w:rsidR="00CE1925">
        <w:rPr>
          <w:rFonts w:ascii="Arial" w:hAnsi="Arial" w:cs="Arial"/>
          <w:sz w:val="22"/>
          <w:szCs w:val="22"/>
          <w:lang w:val="en-IE"/>
        </w:rPr>
        <w:t>T</w:t>
      </w:r>
      <w:r w:rsidRPr="00473225">
        <w:rPr>
          <w:rFonts w:ascii="Arial" w:hAnsi="Arial" w:cs="Arial"/>
          <w:sz w:val="22"/>
          <w:szCs w:val="22"/>
          <w:lang w:val="en-IE"/>
        </w:rPr>
        <w:t>his will be further considered within the framework of SE24 before providing guidance to SRD-MG.</w:t>
      </w:r>
    </w:p>
    <w:p w:rsidR="00473225" w:rsidRPr="00473225" w:rsidRDefault="00473225" w:rsidP="00473225">
      <w:pPr>
        <w:spacing w:before="120"/>
        <w:jc w:val="both"/>
        <w:rPr>
          <w:rFonts w:ascii="Arial" w:hAnsi="Arial" w:cs="Arial"/>
          <w:b/>
          <w:sz w:val="22"/>
          <w:szCs w:val="22"/>
          <w:lang w:val="en-IE"/>
        </w:rPr>
      </w:pPr>
      <w:r w:rsidRPr="00473225">
        <w:rPr>
          <w:rFonts w:ascii="Arial" w:hAnsi="Arial" w:cs="Arial"/>
          <w:b/>
          <w:sz w:val="22"/>
          <w:szCs w:val="22"/>
          <w:lang w:val="en-IE"/>
        </w:rPr>
        <w:t>5</w:t>
      </w:r>
      <w:r w:rsidRPr="00473225">
        <w:rPr>
          <w:rFonts w:ascii="Arial" w:hAnsi="Arial" w:cs="Arial"/>
          <w:b/>
          <w:sz w:val="22"/>
          <w:szCs w:val="22"/>
          <w:lang w:val="en-IE"/>
        </w:rPr>
        <w:tab/>
        <w:t>Annex 8: Broadening of the scope of model control frequencies</w:t>
      </w:r>
    </w:p>
    <w:p w:rsidR="00473225" w:rsidRPr="00951182" w:rsidRDefault="00473225" w:rsidP="00951182">
      <w:pPr>
        <w:spacing w:before="120"/>
        <w:jc w:val="both"/>
        <w:rPr>
          <w:rFonts w:ascii="Arial" w:hAnsi="Arial" w:cs="Arial"/>
          <w:sz w:val="22"/>
          <w:szCs w:val="22"/>
        </w:rPr>
      </w:pPr>
      <w:r w:rsidRPr="00951182">
        <w:rPr>
          <w:rFonts w:ascii="Arial" w:hAnsi="Arial" w:cs="Arial"/>
          <w:sz w:val="22"/>
          <w:szCs w:val="22"/>
        </w:rPr>
        <w:t xml:space="preserve">No information on applicable engineering studies was found. It is assumed that, if at all, they were conducted before creation of the ERO and hence no material is likely to be found in the ECO archive. An interesting starting point could be T/R 20-04 which application scope was wider than just models but also allowing 100 </w:t>
      </w:r>
      <w:proofErr w:type="spellStart"/>
      <w:r w:rsidRPr="00951182">
        <w:rPr>
          <w:rFonts w:ascii="Arial" w:hAnsi="Arial" w:cs="Arial"/>
          <w:sz w:val="22"/>
          <w:szCs w:val="22"/>
        </w:rPr>
        <w:t>mW</w:t>
      </w:r>
      <w:proofErr w:type="spellEnd"/>
      <w:r w:rsidRPr="00951182">
        <w:rPr>
          <w:rFonts w:ascii="Arial" w:hAnsi="Arial" w:cs="Arial"/>
          <w:sz w:val="22"/>
          <w:szCs w:val="22"/>
        </w:rPr>
        <w:t xml:space="preserve">. </w:t>
      </w:r>
    </w:p>
    <w:p w:rsidR="00A6268A" w:rsidRPr="00473225" w:rsidRDefault="00473225" w:rsidP="001545A2">
      <w:pPr>
        <w:spacing w:before="120"/>
        <w:jc w:val="both"/>
        <w:rPr>
          <w:rFonts w:ascii="Arial" w:hAnsi="Arial" w:cs="Arial"/>
          <w:b/>
          <w:sz w:val="22"/>
          <w:szCs w:val="22"/>
          <w:lang w:val="en-IE"/>
        </w:rPr>
      </w:pPr>
      <w:r w:rsidRPr="00473225">
        <w:rPr>
          <w:rFonts w:ascii="Arial" w:hAnsi="Arial" w:cs="Arial"/>
          <w:b/>
          <w:sz w:val="22"/>
          <w:szCs w:val="22"/>
          <w:lang w:val="en-IE"/>
        </w:rPr>
        <w:t>6</w:t>
      </w:r>
      <w:r w:rsidR="00A6268A" w:rsidRPr="00473225">
        <w:rPr>
          <w:rFonts w:ascii="Arial" w:hAnsi="Arial" w:cs="Arial"/>
          <w:b/>
          <w:sz w:val="22"/>
          <w:szCs w:val="22"/>
          <w:lang w:val="en-IE"/>
        </w:rPr>
        <w:tab/>
        <w:t>Entry for 169 MHz social alarms</w:t>
      </w:r>
    </w:p>
    <w:p w:rsidR="00A6268A" w:rsidRPr="00473225" w:rsidRDefault="00A6268A" w:rsidP="001545A2">
      <w:pPr>
        <w:spacing w:before="120"/>
        <w:jc w:val="both"/>
        <w:rPr>
          <w:rFonts w:ascii="Arial" w:hAnsi="Arial" w:cs="Arial"/>
          <w:sz w:val="22"/>
          <w:szCs w:val="22"/>
          <w:lang w:val="en-IE"/>
        </w:rPr>
      </w:pPr>
      <w:r w:rsidRPr="00473225">
        <w:rPr>
          <w:rFonts w:ascii="Arial" w:hAnsi="Arial" w:cs="Arial"/>
          <w:sz w:val="22"/>
          <w:szCs w:val="22"/>
          <w:lang w:val="en-IE"/>
        </w:rPr>
        <w:t>SE24 has initiated the investigation relating to compatibility and LDC in the 169 MHz</w:t>
      </w:r>
      <w:r w:rsidR="00951182">
        <w:rPr>
          <w:rFonts w:ascii="Arial" w:hAnsi="Arial" w:cs="Arial"/>
          <w:sz w:val="22"/>
          <w:szCs w:val="22"/>
          <w:lang w:val="en-IE"/>
        </w:rPr>
        <w:t xml:space="preserve"> band</w:t>
      </w:r>
      <w:r w:rsidRPr="00473225">
        <w:rPr>
          <w:rFonts w:ascii="Arial" w:hAnsi="Arial" w:cs="Arial"/>
          <w:sz w:val="22"/>
          <w:szCs w:val="22"/>
          <w:lang w:val="en-IE"/>
        </w:rPr>
        <w:t>. A status report is expected to be developed at</w:t>
      </w:r>
      <w:bookmarkStart w:id="0" w:name="_GoBack"/>
      <w:bookmarkEnd w:id="0"/>
      <w:r w:rsidRPr="00473225">
        <w:rPr>
          <w:rFonts w:ascii="Arial" w:hAnsi="Arial" w:cs="Arial"/>
          <w:sz w:val="22"/>
          <w:szCs w:val="22"/>
          <w:lang w:val="en-IE"/>
        </w:rPr>
        <w:t xml:space="preserve"> the March meeting of SE24 for consideration in SRD-MG.</w:t>
      </w:r>
    </w:p>
    <w:p w:rsidR="00473225" w:rsidRDefault="00473225">
      <w:pPr>
        <w:rPr>
          <w:lang w:val="en-IE"/>
        </w:rPr>
      </w:pPr>
    </w:p>
    <w:p w:rsidR="00972C9A" w:rsidRPr="00972C9A" w:rsidRDefault="00972C9A" w:rsidP="00972C9A">
      <w:pPr>
        <w:jc w:val="center"/>
        <w:rPr>
          <w:rFonts w:ascii="Arial" w:hAnsi="Arial" w:cs="Arial"/>
          <w:lang w:val="en-IE"/>
        </w:rPr>
      </w:pPr>
      <w:r w:rsidRPr="00972C9A">
        <w:rPr>
          <w:rFonts w:ascii="Arial" w:hAnsi="Arial" w:cs="Arial"/>
          <w:lang w:val="en-IE"/>
        </w:rPr>
        <w:t>Marc Le Devendec</w:t>
      </w:r>
    </w:p>
    <w:p w:rsidR="00972C9A" w:rsidRPr="00972C9A" w:rsidRDefault="00972C9A" w:rsidP="00972C9A">
      <w:pPr>
        <w:jc w:val="center"/>
        <w:rPr>
          <w:rFonts w:ascii="Arial" w:hAnsi="Arial" w:cs="Arial"/>
          <w:lang w:val="en-IE"/>
        </w:rPr>
      </w:pPr>
      <w:r w:rsidRPr="00972C9A">
        <w:rPr>
          <w:rFonts w:ascii="Arial" w:hAnsi="Arial" w:cs="Arial"/>
          <w:lang w:val="en-IE"/>
        </w:rPr>
        <w:t>SE24 Chairman</w:t>
      </w:r>
    </w:p>
    <w:sectPr w:rsidR="00972C9A" w:rsidRPr="00972C9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04AE"/>
    <w:multiLevelType w:val="hybridMultilevel"/>
    <w:tmpl w:val="EBC0E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5A2"/>
    <w:rsid w:val="001545A2"/>
    <w:rsid w:val="00392F16"/>
    <w:rsid w:val="00473225"/>
    <w:rsid w:val="00951182"/>
    <w:rsid w:val="0096452A"/>
    <w:rsid w:val="00972C9A"/>
    <w:rsid w:val="009B39CE"/>
    <w:rsid w:val="00A6268A"/>
    <w:rsid w:val="00B51FF4"/>
    <w:rsid w:val="00B7197B"/>
    <w:rsid w:val="00BE1AAE"/>
    <w:rsid w:val="00CE1925"/>
    <w:rsid w:val="00E575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225"/>
    <w:pPr>
      <w:spacing w:after="0" w:line="240" w:lineRule="auto"/>
    </w:pPr>
    <w:rPr>
      <w:rFonts w:ascii="Times New Roman" w:eastAsia="MS Mincho"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1FF4"/>
    <w:rPr>
      <w:rFonts w:ascii="Tahoma" w:hAnsi="Tahoma" w:cs="Tahoma"/>
      <w:sz w:val="16"/>
      <w:szCs w:val="16"/>
    </w:rPr>
  </w:style>
  <w:style w:type="character" w:customStyle="1" w:styleId="BalloonTextChar">
    <w:name w:val="Balloon Text Char"/>
    <w:basedOn w:val="DefaultParagraphFont"/>
    <w:link w:val="BalloonText"/>
    <w:uiPriority w:val="99"/>
    <w:semiHidden/>
    <w:rsid w:val="00B51FF4"/>
    <w:rPr>
      <w:rFonts w:ascii="Tahoma" w:eastAsia="MS Mincho" w:hAnsi="Tahoma" w:cs="Tahoma"/>
      <w:sz w:val="16"/>
      <w:szCs w:val="16"/>
      <w:lang w:val="en-GB" w:eastAsia="ja-JP"/>
    </w:rPr>
  </w:style>
  <w:style w:type="paragraph" w:styleId="ListParagraph">
    <w:name w:val="List Paragraph"/>
    <w:basedOn w:val="Normal"/>
    <w:uiPriority w:val="34"/>
    <w:qFormat/>
    <w:rsid w:val="00CE19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225"/>
    <w:pPr>
      <w:spacing w:after="0" w:line="240" w:lineRule="auto"/>
    </w:pPr>
    <w:rPr>
      <w:rFonts w:ascii="Times New Roman" w:eastAsia="MS Mincho" w:hAnsi="Times New Roman" w:cs="Times New Roman"/>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1FF4"/>
    <w:rPr>
      <w:rFonts w:ascii="Tahoma" w:hAnsi="Tahoma" w:cs="Tahoma"/>
      <w:sz w:val="16"/>
      <w:szCs w:val="16"/>
    </w:rPr>
  </w:style>
  <w:style w:type="character" w:customStyle="1" w:styleId="BalloonTextChar">
    <w:name w:val="Balloon Text Char"/>
    <w:basedOn w:val="DefaultParagraphFont"/>
    <w:link w:val="BalloonText"/>
    <w:uiPriority w:val="99"/>
    <w:semiHidden/>
    <w:rsid w:val="00B51FF4"/>
    <w:rPr>
      <w:rFonts w:ascii="Tahoma" w:eastAsia="MS Mincho" w:hAnsi="Tahoma" w:cs="Tahoma"/>
      <w:sz w:val="16"/>
      <w:szCs w:val="16"/>
      <w:lang w:val="en-GB" w:eastAsia="ja-JP"/>
    </w:rPr>
  </w:style>
  <w:style w:type="paragraph" w:styleId="ListParagraph">
    <w:name w:val="List Paragraph"/>
    <w:basedOn w:val="Normal"/>
    <w:uiPriority w:val="34"/>
    <w:qFormat/>
    <w:rsid w:val="00CE19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6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590</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ERO</Company>
  <LinksUpToDate>false</LinksUpToDate>
  <CharactersWithSpaces>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ERO</dc:creator>
  <cp:keywords/>
  <dc:description/>
  <cp:lastModifiedBy>Marc Le Devendec</cp:lastModifiedBy>
  <cp:revision>3</cp:revision>
  <dcterms:created xsi:type="dcterms:W3CDTF">2011-12-15T09:32:00Z</dcterms:created>
  <dcterms:modified xsi:type="dcterms:W3CDTF">2012-01-10T15:44:00Z</dcterms:modified>
</cp:coreProperties>
</file>